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150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99E1285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40397C1E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85B51D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626018EC" w14:textId="77777777" w:rsidR="00503379" w:rsidRPr="00503379" w:rsidRDefault="00503379" w:rsidP="00F33916">
      <w:pPr>
        <w:jc w:val="center"/>
        <w:rPr>
          <w:b/>
          <w:bCs/>
          <w:sz w:val="96"/>
          <w:szCs w:val="96"/>
        </w:rPr>
      </w:pPr>
      <w:r w:rsidRPr="00503379">
        <w:rPr>
          <w:b/>
          <w:bCs/>
          <w:sz w:val="96"/>
          <w:szCs w:val="96"/>
        </w:rPr>
        <w:t>EAF</w:t>
      </w:r>
    </w:p>
    <w:p w14:paraId="036008AD" w14:textId="77777777" w:rsidR="00AF0B15" w:rsidRDefault="00F65641" w:rsidP="00F33916">
      <w:pPr>
        <w:jc w:val="center"/>
        <w:rPr>
          <w:b/>
          <w:bCs/>
          <w:sz w:val="36"/>
          <w:szCs w:val="36"/>
        </w:rPr>
      </w:pPr>
      <w:r w:rsidRPr="00F65641">
        <w:rPr>
          <w:b/>
          <w:bCs/>
          <w:sz w:val="36"/>
          <w:szCs w:val="36"/>
        </w:rPr>
        <w:t>RFP – SERVIÇOS DE SUPORTE TÉCNICO ESPECIALIZADO PARA INSTALAÇÃO DE KITS TVRO</w:t>
      </w:r>
      <w:r w:rsidR="00AF0B15">
        <w:rPr>
          <w:b/>
          <w:bCs/>
          <w:sz w:val="36"/>
          <w:szCs w:val="36"/>
        </w:rPr>
        <w:t xml:space="preserve"> </w:t>
      </w:r>
    </w:p>
    <w:p w14:paraId="1BA8F1F9" w14:textId="2D35D558" w:rsidR="00503379" w:rsidRPr="00503379" w:rsidRDefault="00AF0B15" w:rsidP="00F33916">
      <w:pPr>
        <w:jc w:val="center"/>
        <w:rPr>
          <w:b/>
          <w:bCs/>
          <w:sz w:val="36"/>
          <w:szCs w:val="36"/>
        </w:rPr>
      </w:pPr>
      <w:r w:rsidRPr="006A3613">
        <w:rPr>
          <w:b/>
          <w:bCs/>
          <w:sz w:val="36"/>
          <w:szCs w:val="36"/>
          <w:highlight w:val="yellow"/>
        </w:rPr>
        <w:t xml:space="preserve">FASE </w:t>
      </w:r>
      <w:r w:rsidR="002E564F" w:rsidRPr="006A3613">
        <w:rPr>
          <w:b/>
          <w:bCs/>
          <w:sz w:val="36"/>
          <w:szCs w:val="36"/>
          <w:highlight w:val="yellow"/>
        </w:rPr>
        <w:t>IV</w:t>
      </w:r>
      <w:r w:rsidR="00766518">
        <w:rPr>
          <w:b/>
          <w:bCs/>
          <w:sz w:val="36"/>
          <w:szCs w:val="36"/>
          <w:highlight w:val="yellow"/>
        </w:rPr>
        <w:t xml:space="preserve"> </w:t>
      </w:r>
      <w:r w:rsidR="00A343D8">
        <w:rPr>
          <w:b/>
          <w:bCs/>
          <w:sz w:val="36"/>
          <w:szCs w:val="36"/>
          <w:highlight w:val="yellow"/>
        </w:rPr>
        <w:t>B</w:t>
      </w:r>
      <w:r w:rsidRPr="006A3613">
        <w:rPr>
          <w:b/>
          <w:bCs/>
          <w:sz w:val="36"/>
          <w:szCs w:val="36"/>
          <w:highlight w:val="yellow"/>
        </w:rPr>
        <w:t xml:space="preserve"> </w:t>
      </w:r>
      <w:r w:rsidR="002E564F" w:rsidRPr="006A3613">
        <w:rPr>
          <w:b/>
          <w:bCs/>
          <w:sz w:val="36"/>
          <w:szCs w:val="36"/>
          <w:highlight w:val="yellow"/>
        </w:rPr>
        <w:t>–</w:t>
      </w:r>
      <w:r w:rsidRPr="006A3613">
        <w:rPr>
          <w:b/>
          <w:bCs/>
          <w:sz w:val="36"/>
          <w:szCs w:val="36"/>
          <w:highlight w:val="yellow"/>
        </w:rPr>
        <w:t xml:space="preserve"> </w:t>
      </w:r>
      <w:proofErr w:type="gramStart"/>
      <w:r w:rsidR="00A343D8">
        <w:rPr>
          <w:b/>
          <w:bCs/>
          <w:sz w:val="36"/>
          <w:szCs w:val="36"/>
          <w:highlight w:val="yellow"/>
        </w:rPr>
        <w:t>Agosto</w:t>
      </w:r>
      <w:proofErr w:type="gramEnd"/>
      <w:r w:rsidR="00A343D8">
        <w:rPr>
          <w:b/>
          <w:bCs/>
          <w:sz w:val="36"/>
          <w:szCs w:val="36"/>
          <w:highlight w:val="yellow"/>
        </w:rPr>
        <w:t xml:space="preserve"> e Setembro</w:t>
      </w:r>
      <w:r w:rsidR="002E564F" w:rsidRPr="006A3613">
        <w:rPr>
          <w:b/>
          <w:bCs/>
          <w:sz w:val="36"/>
          <w:szCs w:val="36"/>
          <w:highlight w:val="yellow"/>
        </w:rPr>
        <w:t>-23</w:t>
      </w:r>
    </w:p>
    <w:p w14:paraId="3B57A7F0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CD26ACB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1F57C7F6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059EF685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3E64111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1FF0E28C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72FCF00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00253169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DE526BE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4B0C1733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9E2CF07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7D2D0EAA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449888C4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2AC3AE88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300B5D64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3F0A91D5" w14:textId="77777777" w:rsidR="00503379" w:rsidRDefault="00503379" w:rsidP="00B7530D">
      <w:pPr>
        <w:jc w:val="both"/>
        <w:rPr>
          <w:b/>
          <w:bCs/>
          <w:sz w:val="24"/>
          <w:szCs w:val="24"/>
        </w:rPr>
      </w:pPr>
    </w:p>
    <w:p w14:paraId="028DEA7F" w14:textId="0F1338FE" w:rsidR="008710F1" w:rsidRPr="00765A06" w:rsidRDefault="00BB063C" w:rsidP="00B7530D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CONTEXTO</w:t>
      </w:r>
    </w:p>
    <w:p w14:paraId="4C5CDE5B" w14:textId="6F405BB6" w:rsidR="00BC7A8E" w:rsidRPr="00BC7A8E" w:rsidRDefault="00BC7A8E" w:rsidP="00BC7A8E">
      <w:pPr>
        <w:pStyle w:val="Sumrio1"/>
      </w:pPr>
    </w:p>
    <w:p w14:paraId="21CB2659" w14:textId="0DBA45CF" w:rsidR="00BC7A8E" w:rsidRPr="00542CC8" w:rsidRDefault="00BC7A8E" w:rsidP="00BC7A8E">
      <w:pPr>
        <w:autoSpaceDE w:val="0"/>
        <w:autoSpaceDN w:val="0"/>
        <w:adjustRightInd w:val="0"/>
        <w:spacing w:after="200" w:line="360" w:lineRule="auto"/>
        <w:ind w:left="-426" w:firstLine="285"/>
        <w:jc w:val="both"/>
        <w:rPr>
          <w:rFonts w:ascii="Calibri" w:eastAsia="Calibri" w:hAnsi="Calibri" w:cs="Calibri"/>
          <w:kern w:val="24"/>
          <w:sz w:val="24"/>
          <w:szCs w:val="24"/>
        </w:rPr>
      </w:pPr>
      <w:r w:rsidRPr="00542CC8">
        <w:rPr>
          <w:rFonts w:ascii="Calibri" w:eastAsia="Calibri" w:hAnsi="Calibri" w:cs="Calibri"/>
          <w:kern w:val="24"/>
          <w:sz w:val="24"/>
          <w:szCs w:val="24"/>
        </w:rPr>
        <w:t xml:space="preserve">Em 2021 as operadoras de telecomunicações vencedoras do leilão de 5G constituíram a EAF, Entidade Administradora de Processo de Redistribuição e Digitalização de Canais TV e RTV que operacionalizará as metas previstas no edital, sendo responsável por colocar em prática as contrapartidas previstas para a faixa de 3,5 GHz e cujas diretrizes serão dadas pelo </w:t>
      </w:r>
      <w:r w:rsidR="00D74301">
        <w:rPr>
          <w:rFonts w:ascii="Calibri" w:eastAsia="Calibri" w:hAnsi="Calibri" w:cs="Calibri"/>
          <w:kern w:val="24"/>
          <w:sz w:val="24"/>
          <w:szCs w:val="24"/>
        </w:rPr>
        <w:t>GAISPI</w:t>
      </w:r>
      <w:r w:rsidRPr="00542CC8">
        <w:rPr>
          <w:rFonts w:ascii="Calibri" w:eastAsia="Calibri" w:hAnsi="Calibri" w:cs="Calibri"/>
          <w:kern w:val="24"/>
          <w:sz w:val="24"/>
          <w:szCs w:val="24"/>
        </w:rPr>
        <w:t>.</w:t>
      </w:r>
    </w:p>
    <w:p w14:paraId="098ADD48" w14:textId="77777777" w:rsidR="00BC7A8E" w:rsidRPr="00542CC8" w:rsidRDefault="00BC7A8E" w:rsidP="00BC7A8E">
      <w:pPr>
        <w:pStyle w:val="Sumrio1"/>
      </w:pPr>
      <w:bookmarkStart w:id="0" w:name="_Toc464463488"/>
      <w:bookmarkStart w:id="1" w:name="_Toc464463512"/>
      <w:bookmarkStart w:id="2" w:name="_Toc464463536"/>
      <w:bookmarkStart w:id="3" w:name="_Toc464463489"/>
      <w:bookmarkStart w:id="4" w:name="_Toc464463513"/>
      <w:bookmarkStart w:id="5" w:name="_Toc464463537"/>
      <w:bookmarkStart w:id="6" w:name="_Toc67048678"/>
      <w:bookmarkEnd w:id="0"/>
      <w:bookmarkEnd w:id="1"/>
      <w:bookmarkEnd w:id="2"/>
      <w:bookmarkEnd w:id="3"/>
      <w:bookmarkEnd w:id="4"/>
      <w:bookmarkEnd w:id="5"/>
      <w:r w:rsidRPr="00542CC8">
        <w:t>CONFIDENCIALIDADE</w:t>
      </w:r>
      <w:bookmarkEnd w:id="6"/>
    </w:p>
    <w:p w14:paraId="2F57C86E" w14:textId="77777777" w:rsidR="00BC7A8E" w:rsidRPr="00542CC8" w:rsidRDefault="00BC7A8E" w:rsidP="00BC7A8E">
      <w:pPr>
        <w:spacing w:line="360" w:lineRule="auto"/>
        <w:ind w:left="-426" w:firstLine="219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 xml:space="preserve">Todos os participantes convidados a apresentar suas propostas deverão tratar essa RFP e todas as informações aqui contidas como particulares e estritamente confidenciais, regidas pelo Acordo de Confidencialidade, cuja minuta já foi previamente assinada. Uma vez já firmado este documento entre as partes, o participante deverá enviar o documento junto com a resposta dessa RFP. </w:t>
      </w:r>
    </w:p>
    <w:p w14:paraId="55B1036B" w14:textId="77777777" w:rsidR="00BC7A8E" w:rsidRPr="00542CC8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 xml:space="preserve">Ficam os participantes vinculados e obrigados a todas as disposições constantes do Acordo de Confidencialidade desde o momento em que tomem conhecimento da presente RFP. </w:t>
      </w:r>
    </w:p>
    <w:p w14:paraId="02DD0973" w14:textId="77777777" w:rsidR="00BC7A8E" w:rsidRPr="00542CC8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>A cópia e/ou distribuição deste material deverá se restringir exclusivamente aos empregados, prepostos e/ou consultores do participante, envolvidos com a elaboração das propostas. Não será permitida sua distribuição a terceiros que não os expressamente arrolados nesta RFP, no todo ou em partes.</w:t>
      </w:r>
    </w:p>
    <w:p w14:paraId="74C031A1" w14:textId="77777777" w:rsidR="00BC7A8E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  <w:r w:rsidRPr="00542CC8">
        <w:rPr>
          <w:rFonts w:ascii="Calibri" w:hAnsi="Calibri" w:cs="Calibri"/>
          <w:sz w:val="24"/>
          <w:szCs w:val="24"/>
        </w:rPr>
        <w:t>Qualquer violação ao disposto nesta cláusula por parte do participante importa em sua exclusão do processo de fornecimento, sem prejuízo das demais penalidades previstas no Acordo de Confidencialidade.</w:t>
      </w:r>
    </w:p>
    <w:p w14:paraId="0C3CD7D1" w14:textId="77777777" w:rsidR="00BC7A8E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</w:p>
    <w:p w14:paraId="15302DBE" w14:textId="77777777" w:rsidR="00BC7A8E" w:rsidRDefault="00BC7A8E" w:rsidP="00BC7A8E">
      <w:pPr>
        <w:spacing w:line="360" w:lineRule="auto"/>
        <w:ind w:left="-426" w:firstLine="284"/>
        <w:jc w:val="both"/>
        <w:rPr>
          <w:rFonts w:ascii="Calibri" w:hAnsi="Calibri" w:cs="Calibri"/>
          <w:sz w:val="24"/>
          <w:szCs w:val="24"/>
        </w:rPr>
      </w:pPr>
    </w:p>
    <w:p w14:paraId="3EDE9714" w14:textId="77777777" w:rsidR="00D853CC" w:rsidRPr="00BB063C" w:rsidRDefault="00DE28C7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7" w:name="_Toc101544979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OBJETO</w:t>
      </w:r>
      <w:bookmarkEnd w:id="7"/>
    </w:p>
    <w:p w14:paraId="7C56AEB5" w14:textId="6F022993" w:rsidR="00DE28C7" w:rsidRPr="00BB063C" w:rsidRDefault="00B7530D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>Este documento tem por objeto fornecer as diretrizes necessárias à execução dos serviços de instalação de equipamentos do kit TVRO (</w:t>
      </w:r>
      <w:proofErr w:type="spellStart"/>
      <w:r w:rsidRPr="00BB063C">
        <w:rPr>
          <w:rFonts w:cstheme="minorHAnsi"/>
        </w:rPr>
        <w:t>Television</w:t>
      </w:r>
      <w:proofErr w:type="spellEnd"/>
      <w:r w:rsidRPr="00BB063C">
        <w:rPr>
          <w:rFonts w:cstheme="minorHAnsi"/>
        </w:rPr>
        <w:t xml:space="preserve"> </w:t>
      </w:r>
      <w:proofErr w:type="spellStart"/>
      <w:r w:rsidR="0095673C">
        <w:rPr>
          <w:rFonts w:cstheme="minorHAnsi"/>
        </w:rPr>
        <w:t>R</w:t>
      </w:r>
      <w:r w:rsidRPr="00BB063C">
        <w:rPr>
          <w:rFonts w:cstheme="minorHAnsi"/>
        </w:rPr>
        <w:t>eceive</w:t>
      </w:r>
      <w:proofErr w:type="spellEnd"/>
      <w:r w:rsidRPr="00BB063C">
        <w:rPr>
          <w:rFonts w:cstheme="minorHAnsi"/>
        </w:rPr>
        <w:t>-</w:t>
      </w:r>
      <w:r w:rsidR="0095673C">
        <w:rPr>
          <w:rFonts w:cstheme="minorHAnsi"/>
        </w:rPr>
        <w:t>O</w:t>
      </w:r>
      <w:r w:rsidRPr="00BB063C">
        <w:rPr>
          <w:rFonts w:cstheme="minorHAnsi"/>
        </w:rPr>
        <w:t>nly) formado por antena, conversor LNBF</w:t>
      </w:r>
      <w:r w:rsidR="00F122E6">
        <w:rPr>
          <w:rFonts w:cstheme="minorHAnsi"/>
        </w:rPr>
        <w:t>, cabo</w:t>
      </w:r>
      <w:r w:rsidRPr="00BB063C">
        <w:rPr>
          <w:rFonts w:cstheme="minorHAnsi"/>
        </w:rPr>
        <w:t xml:space="preserve"> e set-top box receptor. Em atendimento da regulamentação de troca de equipamentos para uso livre da frequência do Edital 5G da Anatel, nas localidades designadas pela CONTRATANTE.</w:t>
      </w:r>
    </w:p>
    <w:p w14:paraId="5C371D18" w14:textId="77777777" w:rsidR="00503379" w:rsidRPr="00BB063C" w:rsidRDefault="00503379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8" w:name="_Toc101544980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OBJETIVO</w:t>
      </w:r>
      <w:bookmarkEnd w:id="8"/>
    </w:p>
    <w:p w14:paraId="49640945" w14:textId="77777777" w:rsidR="00F65641" w:rsidRPr="00BB063C" w:rsidRDefault="00F65641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 xml:space="preserve">A presente RFP tem como objetivo identificar e selecionar fornecedores, qualificados tecnicamente e comercialmente para prestação de serviços de logística, suporte técnico especializado para instalação de kits TVRO na Banda </w:t>
      </w:r>
      <w:proofErr w:type="spellStart"/>
      <w:r w:rsidRPr="00BB063C">
        <w:rPr>
          <w:rFonts w:cstheme="minorHAnsi"/>
        </w:rPr>
        <w:t>Ku</w:t>
      </w:r>
      <w:proofErr w:type="spellEnd"/>
      <w:r w:rsidRPr="00BB063C">
        <w:rPr>
          <w:rFonts w:cstheme="minorHAnsi"/>
        </w:rPr>
        <w:t xml:space="preserve"> e provisão de sistema WFM (</w:t>
      </w:r>
      <w:proofErr w:type="spellStart"/>
      <w:r w:rsidRPr="00BB063C">
        <w:rPr>
          <w:rFonts w:cstheme="minorHAnsi"/>
        </w:rPr>
        <w:t>WorkForce</w:t>
      </w:r>
      <w:proofErr w:type="spellEnd"/>
      <w:r w:rsidRPr="00BB063C">
        <w:rPr>
          <w:rFonts w:cstheme="minorHAnsi"/>
        </w:rPr>
        <w:t xml:space="preserve"> Management).</w:t>
      </w:r>
    </w:p>
    <w:p w14:paraId="15145525" w14:textId="77777777" w:rsidR="00503379" w:rsidRPr="00BB063C" w:rsidRDefault="00503379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9" w:name="_Toc101544981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VIGÊNCIA</w:t>
      </w:r>
      <w:bookmarkEnd w:id="9"/>
    </w:p>
    <w:p w14:paraId="48133280" w14:textId="77777777" w:rsidR="00503379" w:rsidRPr="00BB063C" w:rsidRDefault="00B7530D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>O contrato terá</w:t>
      </w:r>
      <w:r w:rsidR="00A84C61" w:rsidRPr="00BB063C">
        <w:rPr>
          <w:rFonts w:cstheme="minorHAnsi"/>
        </w:rPr>
        <w:t xml:space="preserve"> a</w:t>
      </w:r>
      <w:r w:rsidRPr="00BB063C">
        <w:rPr>
          <w:rFonts w:cstheme="minorHAnsi"/>
        </w:rPr>
        <w:t xml:space="preserve"> vigência </w:t>
      </w:r>
      <w:r w:rsidR="00272DE3" w:rsidRPr="00BB063C">
        <w:rPr>
          <w:rFonts w:cstheme="minorHAnsi"/>
        </w:rPr>
        <w:t>conforme</w:t>
      </w:r>
      <w:r w:rsidR="000D3D89" w:rsidRPr="00BB063C">
        <w:rPr>
          <w:rFonts w:cstheme="minorHAnsi"/>
        </w:rPr>
        <w:t xml:space="preserve"> </w:t>
      </w:r>
      <w:r w:rsidR="0062391E" w:rsidRPr="00BB063C">
        <w:rPr>
          <w:rFonts w:cstheme="minorHAnsi"/>
        </w:rPr>
        <w:t xml:space="preserve">estabelecem </w:t>
      </w:r>
      <w:r w:rsidR="000D3D89" w:rsidRPr="00BB063C">
        <w:rPr>
          <w:rFonts w:cstheme="minorHAnsi"/>
        </w:rPr>
        <w:t>os descritivos técnicos,</w:t>
      </w:r>
      <w:r w:rsidR="00272DE3" w:rsidRPr="00BB063C">
        <w:rPr>
          <w:rFonts w:cstheme="minorHAnsi"/>
        </w:rPr>
        <w:t xml:space="preserve"> Anexos I</w:t>
      </w:r>
      <w:r w:rsidR="00506AB2" w:rsidRPr="00BB063C">
        <w:rPr>
          <w:rFonts w:cstheme="minorHAnsi"/>
        </w:rPr>
        <w:t xml:space="preserve"> e II</w:t>
      </w:r>
      <w:r w:rsidR="00A84C61" w:rsidRPr="00BB063C">
        <w:rPr>
          <w:rFonts w:cstheme="minorHAnsi"/>
        </w:rPr>
        <w:t>,</w:t>
      </w:r>
      <w:r w:rsidR="000D3D89" w:rsidRPr="00BB063C">
        <w:rPr>
          <w:rFonts w:cstheme="minorHAnsi"/>
        </w:rPr>
        <w:t xml:space="preserve"> </w:t>
      </w:r>
      <w:r w:rsidR="00037F06" w:rsidRPr="00BB063C">
        <w:rPr>
          <w:rFonts w:cstheme="minorHAnsi"/>
        </w:rPr>
        <w:t xml:space="preserve">sendo iniciado </w:t>
      </w:r>
      <w:r w:rsidR="000D3D89" w:rsidRPr="00BB063C">
        <w:rPr>
          <w:rFonts w:cstheme="minorHAnsi"/>
        </w:rPr>
        <w:t>após a assinatura da CONTRATANTE e da PROPONENTE</w:t>
      </w:r>
      <w:r w:rsidR="00037F06" w:rsidRPr="00BB063C">
        <w:rPr>
          <w:rFonts w:cstheme="minorHAnsi"/>
        </w:rPr>
        <w:t xml:space="preserve">. Fica a critério da </w:t>
      </w:r>
      <w:r w:rsidR="000D3D89" w:rsidRPr="00BB063C">
        <w:rPr>
          <w:rFonts w:cstheme="minorHAnsi"/>
        </w:rPr>
        <w:t>EAF</w:t>
      </w:r>
      <w:r w:rsidR="00037F06" w:rsidRPr="00BB063C">
        <w:rPr>
          <w:rFonts w:cstheme="minorHAnsi"/>
        </w:rPr>
        <w:t xml:space="preserve"> a pro</w:t>
      </w:r>
      <w:r w:rsidR="002E5594" w:rsidRPr="00BB063C">
        <w:rPr>
          <w:rFonts w:cstheme="minorHAnsi"/>
        </w:rPr>
        <w:t>rrogação de prazo de vigência de contrato.</w:t>
      </w:r>
    </w:p>
    <w:p w14:paraId="46F4B045" w14:textId="77777777" w:rsidR="00DE28C7" w:rsidRPr="00BB063C" w:rsidRDefault="00E54208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0" w:name="_Toc101544982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ESCOPO</w:t>
      </w:r>
      <w:bookmarkEnd w:id="10"/>
    </w:p>
    <w:p w14:paraId="341B257A" w14:textId="3420CB37" w:rsidR="00283C35" w:rsidRPr="00BB063C" w:rsidRDefault="00214489" w:rsidP="00BB063C">
      <w:pPr>
        <w:spacing w:line="360" w:lineRule="auto"/>
        <w:ind w:left="360"/>
        <w:jc w:val="both"/>
        <w:rPr>
          <w:rFonts w:cstheme="minorHAnsi"/>
        </w:rPr>
      </w:pPr>
      <w:r w:rsidRPr="00BB063C">
        <w:rPr>
          <w:rFonts w:cstheme="minorHAnsi"/>
        </w:rPr>
        <w:t>O escopo desta RFP trata do atendimento para a</w:t>
      </w:r>
      <w:r w:rsidR="002B6F9E" w:rsidRPr="00BB063C">
        <w:rPr>
          <w:rFonts w:cstheme="minorHAnsi"/>
        </w:rPr>
        <w:t>s</w:t>
      </w:r>
      <w:r w:rsidRPr="00BB063C">
        <w:rPr>
          <w:rFonts w:cstheme="minorHAnsi"/>
        </w:rPr>
        <w:t xml:space="preserve"> demanda</w:t>
      </w:r>
      <w:r w:rsidR="002B6F9E" w:rsidRPr="00BB063C">
        <w:rPr>
          <w:rFonts w:cstheme="minorHAnsi"/>
        </w:rPr>
        <w:t>s</w:t>
      </w:r>
      <w:r w:rsidRPr="00BB063C">
        <w:rPr>
          <w:rFonts w:cstheme="minorHAnsi"/>
        </w:rPr>
        <w:t xml:space="preserve"> </w:t>
      </w:r>
      <w:r w:rsidR="002B6F9E" w:rsidRPr="00BB063C">
        <w:rPr>
          <w:rFonts w:cstheme="minorHAnsi"/>
        </w:rPr>
        <w:t xml:space="preserve">vide </w:t>
      </w:r>
      <w:r w:rsidR="00404210" w:rsidRPr="00BB063C">
        <w:rPr>
          <w:rFonts w:cstheme="minorHAnsi"/>
        </w:rPr>
        <w:t>Anexo LPU</w:t>
      </w:r>
      <w:r w:rsidRPr="00BB063C">
        <w:rPr>
          <w:rFonts w:cstheme="minorHAnsi"/>
        </w:rPr>
        <w:t xml:space="preserve">. Para garantir o atendimento se estima a utilização de pelo menos </w:t>
      </w:r>
      <w:r w:rsidR="00E660A4" w:rsidRPr="00BB063C">
        <w:rPr>
          <w:rFonts w:cstheme="minorHAnsi"/>
        </w:rPr>
        <w:t>um</w:t>
      </w:r>
      <w:r w:rsidRPr="00BB063C">
        <w:rPr>
          <w:rFonts w:cstheme="minorHAnsi"/>
        </w:rPr>
        <w:t xml:space="preserve"> PTA </w:t>
      </w:r>
      <w:r w:rsidR="001E3164" w:rsidRPr="00BB063C">
        <w:rPr>
          <w:rFonts w:cstheme="minorHAnsi"/>
        </w:rPr>
        <w:t xml:space="preserve">(Postos Avançados) </w:t>
      </w:r>
      <w:r w:rsidRPr="00BB063C">
        <w:rPr>
          <w:rFonts w:cstheme="minorHAnsi"/>
        </w:rPr>
        <w:t xml:space="preserve">ou CD </w:t>
      </w:r>
      <w:r w:rsidR="001E3164" w:rsidRPr="00BB063C">
        <w:rPr>
          <w:rFonts w:cstheme="minorHAnsi"/>
        </w:rPr>
        <w:t xml:space="preserve">(Centro de Distribuição) </w:t>
      </w:r>
      <w:r w:rsidRPr="00BB063C">
        <w:rPr>
          <w:rFonts w:cstheme="minorHAnsi"/>
        </w:rPr>
        <w:t xml:space="preserve">em cada localidade, além da utilização de CDs para abastecimento dos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 xml:space="preserve"> espalhados pelo território nacional. A CONTRATANTE está adquirindo também o serviço de instalação de sistema de TVRO para atender as demandas de liberação de frequências do edital 5G Brasil.</w:t>
      </w:r>
    </w:p>
    <w:p w14:paraId="224BE65D" w14:textId="77777777" w:rsidR="00586919" w:rsidRPr="00BB063C" w:rsidRDefault="00586919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1" w:name="_Toc101544983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DESCRIÇÃO</w:t>
      </w:r>
      <w:bookmarkEnd w:id="11"/>
    </w:p>
    <w:p w14:paraId="54D13C80" w14:textId="77777777" w:rsidR="00B7530D" w:rsidRPr="00BB063C" w:rsidRDefault="00B7530D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As atividades da PROPONENTE consistem basicamente em:</w:t>
      </w:r>
    </w:p>
    <w:p w14:paraId="7A0AD59C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lastRenderedPageBreak/>
        <w:t xml:space="preserve">Gestão operacional dos Produtos adquiridos pela EAF e que forem entregues pelos fornecedores dos Kits TVRO no CD, para posterior encaminhamento aos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 xml:space="preserve"> seguindo volumetria apresentada no decorrer desse documento.</w:t>
      </w:r>
    </w:p>
    <w:p w14:paraId="0CB1BD15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Recebimento dos itens dos Kits nas dependências dos CDs e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 xml:space="preserve">. Deverá registrar a entrada dos Produtos recebidos no CD e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 xml:space="preserve"> em seu sistema de TI próprio, e deve dispor de ferramentas para a gestão do estoque, assim como estabelecer processo de integração para envio de informações à EAF. </w:t>
      </w:r>
    </w:p>
    <w:p w14:paraId="19AF8867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Caberá à PROPONENTE o armazenamento e guarda dos Kits no CD de acordo com as especificidades e requisitos técnicos de cada um dos Itens dos Kits.</w:t>
      </w:r>
    </w:p>
    <w:p w14:paraId="7E108C9D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Os Itens dos Kits deverão ser armazenados nos termos exigidos pela legislação aplicável e normas regulatórias vigentes, além de eventuais instruções dos respectivos fornecedores e/ou orientação da EAF. </w:t>
      </w:r>
    </w:p>
    <w:p w14:paraId="5BEF61E3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Caberá à PROPONENTE a gestão do estoque dos Itens dos Kits localizados no CD e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>, física e virtualmente, mediante a atualização periódica padronizada das informações contidas em seu sistema próprio de gestão de estoque. Além disso, será definido em conjunto com a EAF a periodicidade de envio dessas informações ao sistema EAF.</w:t>
      </w:r>
    </w:p>
    <w:p w14:paraId="098B2F3D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A PROPONENTE deverá, até o último dia de cada mês, elaborar e encaminhar aos cuidados da EAF todos os indicadores acordados. A EAF poderá ter acesso ao CD e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 xml:space="preserve"> para fins de vistoria e auditoria dos Itens dos Kits acondicionados.</w:t>
      </w:r>
    </w:p>
    <w:p w14:paraId="3B9FEE9C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Gestão de Inventários - Acur</w:t>
      </w:r>
      <w:r w:rsidR="00377BD8" w:rsidRPr="00BB063C">
        <w:rPr>
          <w:rFonts w:cstheme="minorHAnsi"/>
        </w:rPr>
        <w:t>ácia</w:t>
      </w:r>
      <w:r w:rsidRPr="00BB063C">
        <w:rPr>
          <w:rFonts w:cstheme="minorHAnsi"/>
        </w:rPr>
        <w:t xml:space="preserve">, inventário rotativo e periódico, controle de lote quando aplicável. Em inventários, eventuais divergências entre a quantidade de Itens dos Kits levantadas pela PROPONENTE e pela EAF, detectadas ao final deste, deverão ser informadas à PROPONENTE, para que essa efetue sua verificação e informe o resultado das apurações. </w:t>
      </w:r>
    </w:p>
    <w:p w14:paraId="01919A09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A PROPONENTE deverá adotar todas as medidas necessárias para a emissão dos documentos fiscais de para movimentação dos Itens dos Kits entre CD e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 xml:space="preserve"> e disponibilização dos Kits TVRO para as equipes de instalação, bem como os demais documentos necessários para cumprimento das eventuais obrigações fiscais acessórias. </w:t>
      </w:r>
    </w:p>
    <w:p w14:paraId="49CF0A0F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É responsabilidade da PROPONENTE assegurar o transporte dos Itens dos Kits, em segurança e conformidade com as normas aplicáveis, nos termos desde documento, até a disponibilização às equipes de instalação. Ademais, deverá a PROPONENTE garantir </w:t>
      </w:r>
      <w:r w:rsidRPr="00BB063C">
        <w:rPr>
          <w:rFonts w:cstheme="minorHAnsi"/>
        </w:rPr>
        <w:lastRenderedPageBreak/>
        <w:t xml:space="preserve">que os Itens dos Kits sejam transportados até os </w:t>
      </w:r>
      <w:proofErr w:type="spellStart"/>
      <w:r w:rsidRPr="00BB063C">
        <w:rPr>
          <w:rFonts w:cstheme="minorHAnsi"/>
        </w:rPr>
        <w:t>PTAs</w:t>
      </w:r>
      <w:proofErr w:type="spellEnd"/>
      <w:r w:rsidRPr="00BB063C">
        <w:rPr>
          <w:rFonts w:cstheme="minorHAnsi"/>
        </w:rPr>
        <w:t>, devendo ser entregues em sua totalidade, qualidade e segurança, dentro do prazo acordado com o EAF.</w:t>
      </w:r>
    </w:p>
    <w:p w14:paraId="26C1C389" w14:textId="5CE21C0C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A</w:t>
      </w:r>
      <w:r w:rsidR="00786B01">
        <w:rPr>
          <w:rFonts w:cstheme="minorHAnsi"/>
        </w:rPr>
        <w:t xml:space="preserve"> </w:t>
      </w:r>
      <w:r w:rsidRPr="00BB063C">
        <w:rPr>
          <w:rFonts w:cstheme="minorHAnsi"/>
        </w:rPr>
        <w:t>PROPONENTE deve atender os indicadores de qualidade para medição dos Serviços prestados relacionados ao tempo de entregas e demais indicadores definidos no decorrer deste documento</w:t>
      </w:r>
      <w:r w:rsidR="00ED0664" w:rsidRPr="00BB063C">
        <w:rPr>
          <w:rFonts w:cstheme="minorHAnsi"/>
        </w:rPr>
        <w:t xml:space="preserve"> </w:t>
      </w:r>
      <w:r w:rsidRPr="00BB063C">
        <w:rPr>
          <w:rFonts w:cstheme="minorHAnsi"/>
        </w:rPr>
        <w:t xml:space="preserve">(REF). </w:t>
      </w:r>
    </w:p>
    <w:p w14:paraId="727714CA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A PROPONENTE se encarregará da contratação e Gestão de Seguros e Plano de Gerenciamento de Risco.</w:t>
      </w:r>
    </w:p>
    <w:p w14:paraId="5D658829" w14:textId="77777777" w:rsidR="0068008F" w:rsidRPr="00BB063C" w:rsidRDefault="0068008F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A gestão de Entrega e Performance de entrega, </w:t>
      </w:r>
      <w:proofErr w:type="gramStart"/>
      <w:r w:rsidRPr="00BB063C">
        <w:rPr>
          <w:rFonts w:cstheme="minorHAnsi"/>
        </w:rPr>
        <w:t>tracking ,</w:t>
      </w:r>
      <w:proofErr w:type="gramEnd"/>
      <w:r w:rsidRPr="00BB063C">
        <w:rPr>
          <w:rFonts w:cstheme="minorHAnsi"/>
        </w:rPr>
        <w:t xml:space="preserve"> follow-up deverá ser realizada pela PROPONENTE e informada à EAF mediante solicitação ou por meio de portal web.</w:t>
      </w:r>
    </w:p>
    <w:p w14:paraId="1B2573A0" w14:textId="77777777" w:rsidR="00B7530D" w:rsidRPr="00BB063C" w:rsidRDefault="00B7530D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Retirada do kit TVRO em Posto Avançado (PTA) a ser designado pela CONTRATANTE mediante identificação acompanhado de um documento interno a ser emitido pela CONTRATANTE.</w:t>
      </w:r>
    </w:p>
    <w:p w14:paraId="06D175BA" w14:textId="77777777" w:rsidR="00B7530D" w:rsidRPr="00BB063C" w:rsidRDefault="00B7530D" w:rsidP="00BB063C">
      <w:pPr>
        <w:pStyle w:val="PargrafodaLista"/>
        <w:spacing w:line="360" w:lineRule="auto"/>
        <w:rPr>
          <w:rFonts w:cstheme="minorHAnsi"/>
        </w:rPr>
      </w:pPr>
      <w:r w:rsidRPr="00BB063C">
        <w:rPr>
          <w:rFonts w:cstheme="minorHAnsi"/>
        </w:rPr>
        <w:t>Dirigir-se dirigir até o local de instalação do sistema TVRO, designado em OS emitida pela CONTRATANTE, fazer contato cordial com o usuário, explicando as atividades a serem executadas, informar à central do início das atividades, observar e evidenciar equipamentos de TVRO em banda C funcionando, instalar a nova antena, cabeamento e receptor de sinal, testar o cabeamento, efetuar o alinhamento da antena para o satélite designado, atualizar o software e firmware do receptor com pen drive disponibilizado pela CONTRATANTE (quando necessário e expressamente indicado), ativar a funcionalidade de SATHDR (quando necessário e expressamente indicado), ajustar a TV do usuário, fazer teste final de integração com a central, recolher as sobras de material de instalação, evidenciar o trabalho realizado, conforme instruções da CONTRATANTE, colher assinatura de aceite dos serviços com o usuário e realizar baixa na OS da instalação concluída com sucesso.</w:t>
      </w:r>
    </w:p>
    <w:p w14:paraId="2C9E27AE" w14:textId="77777777" w:rsidR="00B7530D" w:rsidRPr="00BB063C" w:rsidRDefault="00B7530D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 xml:space="preserve">Após a execução das atividades no usuário, a PROPONENTE deverá colher assinatura do usuário no Termo de Aceite indicado pela CONTRATANTE. Nesse formulário, deverão conter todos os itens que são importantes para garantir que o usuário tenha uma instalação adequada, de qualidade e duradoura, de acordo com os procedimentos informados pela CONTRATANTE. É muito importante que o instalador explique e preencha o </w:t>
      </w:r>
      <w:proofErr w:type="spellStart"/>
      <w:r w:rsidRPr="00BB063C">
        <w:rPr>
          <w:rFonts w:cstheme="minorHAnsi"/>
        </w:rPr>
        <w:t>check-list</w:t>
      </w:r>
      <w:proofErr w:type="spellEnd"/>
      <w:r w:rsidRPr="00BB063C">
        <w:rPr>
          <w:rFonts w:cstheme="minorHAnsi"/>
        </w:rPr>
        <w:t xml:space="preserve"> em conjunto com o usuário de forma transparente. Todos os serviços executados deverão ter Termo de Aceite, devidamente preenchido e assinado pelo usuário em meio digital ou outro que a PROPONENTE estabelecer. Este termo deve </w:t>
      </w:r>
      <w:r w:rsidRPr="00BB063C">
        <w:rPr>
          <w:rFonts w:cstheme="minorHAnsi"/>
        </w:rPr>
        <w:lastRenderedPageBreak/>
        <w:t>conter a leitura da identificação dos itens do kit já estabelecida na retirada no PTA (Posto Avançado) deste.</w:t>
      </w:r>
    </w:p>
    <w:p w14:paraId="4A650026" w14:textId="77777777" w:rsidR="00283C35" w:rsidRPr="00BB063C" w:rsidRDefault="00B7530D" w:rsidP="00BB063C">
      <w:pPr>
        <w:pStyle w:val="PargrafodaLista"/>
        <w:numPr>
          <w:ilvl w:val="1"/>
          <w:numId w:val="7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Não será efetivado o serviço de subtração de qualquer kit contendo antena, cabos, conectores, LNBF e receptores previamente instalado na residência do usuário.</w:t>
      </w:r>
    </w:p>
    <w:p w14:paraId="2AEB14F6" w14:textId="77777777" w:rsidR="005F3E44" w:rsidRPr="00BB063C" w:rsidRDefault="005F3E44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2" w:name="_Toc101544984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APRESENTAÇÃO DA PROPOSTA</w:t>
      </w:r>
      <w:bookmarkEnd w:id="12"/>
    </w:p>
    <w:p w14:paraId="178FEB2D" w14:textId="77777777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Solicitamos o envio das propostas conforme descrito abaixo:</w:t>
      </w:r>
    </w:p>
    <w:p w14:paraId="073DCD9B" w14:textId="3F57FF32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COMERCIAL: Preenchimento </w:t>
      </w:r>
      <w:r w:rsidR="00676663" w:rsidRPr="00BB063C">
        <w:rPr>
          <w:rFonts w:cstheme="minorHAnsi"/>
        </w:rPr>
        <w:t xml:space="preserve">do </w:t>
      </w:r>
      <w:r w:rsidRPr="00BB063C">
        <w:rPr>
          <w:rFonts w:cstheme="minorHAnsi"/>
        </w:rPr>
        <w:t xml:space="preserve">Anexo </w:t>
      </w:r>
      <w:r w:rsidR="00676663" w:rsidRPr="00BB063C">
        <w:rPr>
          <w:rFonts w:cstheme="minorHAnsi"/>
        </w:rPr>
        <w:t>II</w:t>
      </w:r>
      <w:r w:rsidRPr="00BB063C">
        <w:rPr>
          <w:rFonts w:cstheme="minorHAnsi"/>
        </w:rPr>
        <w:t xml:space="preserve"> - </w:t>
      </w:r>
      <w:r w:rsidR="00676663" w:rsidRPr="00BB063C">
        <w:rPr>
          <w:rFonts w:cstheme="minorHAnsi"/>
        </w:rPr>
        <w:t>LPU</w:t>
      </w:r>
      <w:r w:rsidRPr="00BB063C">
        <w:rPr>
          <w:rFonts w:cstheme="minorHAnsi"/>
        </w:rPr>
        <w:t xml:space="preserve"> </w:t>
      </w:r>
    </w:p>
    <w:p w14:paraId="0F22803F" w14:textId="77777777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Não será aceit</w:t>
      </w:r>
      <w:r w:rsidR="00941EB0" w:rsidRPr="00BB063C">
        <w:rPr>
          <w:rFonts w:cstheme="minorHAnsi"/>
        </w:rPr>
        <w:t>a</w:t>
      </w:r>
      <w:r w:rsidRPr="00BB063C">
        <w:rPr>
          <w:rFonts w:cstheme="minorHAnsi"/>
        </w:rPr>
        <w:t xml:space="preserve"> qualquer tipo de cobrança adicional ao valor aprovado e contratado, exceto em casos de mudança de escopo que acarrete normas, condições, medidas e orientações constantes nos anexos desta RFP e devidamente acordado entre as partes.</w:t>
      </w:r>
    </w:p>
    <w:p w14:paraId="399EAF01" w14:textId="4A430F75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Caso as propostas apresentadas pela PROPONENTE não atinjam um patamar econômico razoável, será facultado à EAF não contratar </w:t>
      </w:r>
      <w:r w:rsidR="006A56EB" w:rsidRPr="00BB063C">
        <w:rPr>
          <w:rFonts w:cstheme="minorHAnsi"/>
        </w:rPr>
        <w:t>a PROPONENTE</w:t>
      </w:r>
      <w:r w:rsidRPr="00BB063C">
        <w:rPr>
          <w:rFonts w:cstheme="minorHAnsi"/>
        </w:rPr>
        <w:t xml:space="preserve">, sem que </w:t>
      </w:r>
      <w:r w:rsidR="006A56EB" w:rsidRPr="00BB063C">
        <w:rPr>
          <w:rFonts w:cstheme="minorHAnsi"/>
        </w:rPr>
        <w:t>qualquer direito</w:t>
      </w:r>
      <w:r w:rsidRPr="00BB063C">
        <w:rPr>
          <w:rFonts w:cstheme="minorHAnsi"/>
        </w:rPr>
        <w:t xml:space="preserve"> a indenização seja devido pela EAF e sem qualquer ônus de qualquer natureza possa ser reclamado dela, a qualquer tempo, pela PROPONENTE.</w:t>
      </w:r>
    </w:p>
    <w:p w14:paraId="502DFF5E" w14:textId="77777777" w:rsidR="001266CB" w:rsidRPr="00BB063C" w:rsidRDefault="00624C75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3" w:name="_Toc101544985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CONDIÇÕES DE PAGAMENTO</w:t>
      </w:r>
      <w:bookmarkEnd w:id="13"/>
    </w:p>
    <w:p w14:paraId="0FAA9636" w14:textId="77777777" w:rsidR="00F65641" w:rsidRPr="00BB063C" w:rsidRDefault="00F65641" w:rsidP="00BB063C">
      <w:pPr>
        <w:spacing w:line="36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PROPONENTE deverá considerar que o prazo de pagamento é de </w:t>
      </w:r>
      <w:r w:rsidR="00A3545A" w:rsidRPr="00BB063C">
        <w:rPr>
          <w:rFonts w:cstheme="minorHAnsi"/>
        </w:rPr>
        <w:t>3</w:t>
      </w:r>
      <w:r w:rsidR="00C57BC5" w:rsidRPr="00BB063C">
        <w:rPr>
          <w:rFonts w:cstheme="minorHAnsi"/>
        </w:rPr>
        <w:t>0</w:t>
      </w:r>
      <w:r w:rsidRPr="00BB063C">
        <w:rPr>
          <w:rFonts w:cstheme="minorHAnsi"/>
        </w:rPr>
        <w:t xml:space="preserve"> dias após a emissão da nota fiscal. O faturamento se dará observando os seguintes passos:</w:t>
      </w:r>
    </w:p>
    <w:p w14:paraId="1E516006" w14:textId="77777777" w:rsidR="00F65641" w:rsidRPr="00BB063C" w:rsidRDefault="00F65641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Todas as faturas serão previamente aprovadas pela área técnica da EAF;</w:t>
      </w:r>
    </w:p>
    <w:p w14:paraId="32DD87D1" w14:textId="77777777" w:rsidR="00F65641" w:rsidRPr="00BB063C" w:rsidRDefault="00F65641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Todos os preços serão referidos e pagos em Reais (R$);</w:t>
      </w:r>
    </w:p>
    <w:p w14:paraId="77B03B42" w14:textId="77777777" w:rsidR="00B7530D" w:rsidRPr="00BB063C" w:rsidRDefault="00F65641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A PROPONENTE não poderá emitir Nota Fiscal para entrega futura;</w:t>
      </w:r>
    </w:p>
    <w:p w14:paraId="3EDE471E" w14:textId="77777777" w:rsidR="00624C75" w:rsidRPr="00BB063C" w:rsidRDefault="007C3494" w:rsidP="00BB063C">
      <w:pPr>
        <w:pStyle w:val="PargrafodaLista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BB063C">
        <w:rPr>
          <w:rFonts w:cstheme="minorHAnsi"/>
        </w:rPr>
        <w:t>O valor total do serviço</w:t>
      </w:r>
      <w:r w:rsidR="00E35833" w:rsidRPr="00BB063C">
        <w:rPr>
          <w:rFonts w:cstheme="minorHAnsi"/>
        </w:rPr>
        <w:t>/produto</w:t>
      </w:r>
      <w:r w:rsidRPr="00BB063C">
        <w:rPr>
          <w:rFonts w:cstheme="minorHAnsi"/>
        </w:rPr>
        <w:t xml:space="preserve"> deverá incluir todos os encargos, taxas e impostos, não cabendo nenhuma cobrança adicional.</w:t>
      </w:r>
    </w:p>
    <w:p w14:paraId="705B125A" w14:textId="77777777" w:rsidR="00B7530D" w:rsidRPr="00BB063C" w:rsidRDefault="00B7530D" w:rsidP="00BB063C">
      <w:pPr>
        <w:spacing w:line="360" w:lineRule="auto"/>
        <w:ind w:left="357"/>
        <w:jc w:val="both"/>
        <w:rPr>
          <w:rFonts w:cstheme="minorHAnsi"/>
        </w:rPr>
      </w:pPr>
    </w:p>
    <w:p w14:paraId="70DBF955" w14:textId="77777777" w:rsidR="00470312" w:rsidRPr="00BB063C" w:rsidRDefault="00957823" w:rsidP="00BB063C">
      <w:pPr>
        <w:pStyle w:val="Ttulo1"/>
        <w:numPr>
          <w:ilvl w:val="0"/>
          <w:numId w:val="4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4" w:name="_Toc101544987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CONDIÇÕES GERAIS PARA A CONTRATAÇÃO DOS MATERIAIS E SERVIÇOS MENCIONADOS NESSA RF</w:t>
      </w:r>
      <w:r w:rsidR="00B7530D"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bookmarkEnd w:id="14"/>
    </w:p>
    <w:p w14:paraId="41F92EC9" w14:textId="77777777" w:rsidR="00957823" w:rsidRPr="00BB063C" w:rsidRDefault="00957823" w:rsidP="00B82D89">
      <w:pPr>
        <w:spacing w:line="276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A EAF se reserva ao direito de modificar as condições gerais descritas nesta RF</w:t>
      </w:r>
      <w:r w:rsidR="00B7530D" w:rsidRPr="00BB063C">
        <w:rPr>
          <w:rFonts w:cstheme="minorHAnsi"/>
        </w:rPr>
        <w:t>P</w:t>
      </w:r>
      <w:r w:rsidRPr="00BB063C">
        <w:rPr>
          <w:rFonts w:cstheme="minorHAnsi"/>
        </w:rPr>
        <w:t xml:space="preserve"> nos eventuais documentos futuros de RF</w:t>
      </w:r>
      <w:r w:rsidR="00B7530D" w:rsidRPr="00BB063C">
        <w:rPr>
          <w:rFonts w:cstheme="minorHAnsi"/>
        </w:rPr>
        <w:t>P</w:t>
      </w:r>
      <w:r w:rsidRPr="00BB063C">
        <w:rPr>
          <w:rFonts w:cstheme="minorHAnsi"/>
        </w:rPr>
        <w:t xml:space="preserve"> e Contrato. Sem prejuízo das demais obrigações que serão assumidas, legal e contratualmente, obriga-se a PROPONENTE no momento do contrato:</w:t>
      </w:r>
    </w:p>
    <w:p w14:paraId="0F84A712" w14:textId="77777777" w:rsidR="00957823" w:rsidRPr="00BB063C" w:rsidRDefault="00957823" w:rsidP="00B82D89">
      <w:pPr>
        <w:pStyle w:val="PargrafodaLista"/>
        <w:numPr>
          <w:ilvl w:val="1"/>
          <w:numId w:val="4"/>
        </w:numPr>
        <w:spacing w:line="276" w:lineRule="auto"/>
        <w:rPr>
          <w:rFonts w:cstheme="minorHAnsi"/>
        </w:rPr>
      </w:pPr>
      <w:r w:rsidRPr="00BB063C">
        <w:rPr>
          <w:rFonts w:cstheme="minorHAnsi"/>
        </w:rPr>
        <w:t>CONFLITOS DE INTERESSES</w:t>
      </w:r>
    </w:p>
    <w:p w14:paraId="6F0A0D0B" w14:textId="77777777" w:rsidR="00957823" w:rsidRPr="00BB063C" w:rsidRDefault="00957823" w:rsidP="00B82D89">
      <w:pPr>
        <w:spacing w:line="276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Quando solicitado, deverá fornecer à EAF cópia do estatuto social ou contrato social, incluindo a relação dos acionistas e principais administradores da Companhia e reportar imediatamente o conhecimento de qualquer relacionamento com os acionistas, administradores e executivos da EAF. </w:t>
      </w:r>
    </w:p>
    <w:p w14:paraId="6FA33EFA" w14:textId="77777777" w:rsidR="00957823" w:rsidRDefault="00957823" w:rsidP="00B82D89">
      <w:pPr>
        <w:spacing w:line="276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>Deverá tomar conhecimento da política de conflitos de interesses da EAF no momento da sua contratação, e estar ciente de que caso um conflito de interesses seja identificado, a respectiva situação deverá ser devidamente avaliada pela área de Compliance da EAF antes da sua contratação.</w:t>
      </w:r>
    </w:p>
    <w:p w14:paraId="398EDE19" w14:textId="00365A8B" w:rsidR="00B26AD9" w:rsidRPr="00B82D89" w:rsidRDefault="00B26AD9" w:rsidP="00B26AD9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  <w:bCs/>
        </w:rPr>
      </w:pPr>
      <w:r w:rsidRPr="00B82D89">
        <w:rPr>
          <w:rFonts w:cstheme="minorHAnsi"/>
          <w:b/>
          <w:bCs/>
        </w:rPr>
        <w:t>GESTOR DO CONTRATO</w:t>
      </w:r>
    </w:p>
    <w:p w14:paraId="33B914B8" w14:textId="0F0854B5" w:rsidR="00BB30B4" w:rsidRPr="007549E1" w:rsidRDefault="00BB30B4" w:rsidP="00645BAE">
      <w:pPr>
        <w:spacing w:line="360" w:lineRule="auto"/>
        <w:ind w:firstLine="360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4DA649F8" wp14:editId="1BCF6823">
            <wp:extent cx="1669562" cy="642937"/>
            <wp:effectExtent l="0" t="0" r="6985" b="5080"/>
            <wp:docPr id="15238937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8937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04" cy="64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CF660" w14:textId="000C0DF1" w:rsidR="00B26AD9" w:rsidRDefault="00B26AD9" w:rsidP="00B26AD9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  <w:bCs/>
        </w:rPr>
      </w:pPr>
      <w:r w:rsidRPr="00B82D89">
        <w:rPr>
          <w:rFonts w:cstheme="minorHAnsi"/>
          <w:b/>
          <w:bCs/>
        </w:rPr>
        <w:t>COMPRADOR RESPONSÁVEL</w:t>
      </w:r>
    </w:p>
    <w:p w14:paraId="3A53DCF4" w14:textId="1D53F2D9" w:rsidR="00E74815" w:rsidRPr="00B82D89" w:rsidRDefault="00E74815" w:rsidP="00E74815">
      <w:pPr>
        <w:pStyle w:val="PargrafodaLista"/>
        <w:spacing w:line="360" w:lineRule="auto"/>
        <w:ind w:left="426"/>
        <w:rPr>
          <w:rFonts w:cstheme="minorHAnsi"/>
          <w:b/>
          <w:bCs/>
        </w:rPr>
      </w:pPr>
      <w:r>
        <w:rPr>
          <w:noProof/>
        </w:rPr>
        <w:drawing>
          <wp:inline distT="0" distB="0" distL="0" distR="0" wp14:anchorId="389831BE" wp14:editId="0B83F1D4">
            <wp:extent cx="1695450" cy="764219"/>
            <wp:effectExtent l="0" t="0" r="0" b="0"/>
            <wp:docPr id="843867236" name="Imagem 1" descr="Interface gráfica do usuário,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867236" name="Imagem 1" descr="Interface gráfica do usuário, Texto&#10;&#10;Descrição gerad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6510" cy="769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CF5E0" w14:textId="77777777" w:rsidR="00377BD8" w:rsidRPr="00BB063C" w:rsidRDefault="00377BD8" w:rsidP="00E74815">
      <w:pPr>
        <w:pStyle w:val="Ttulo1"/>
        <w:numPr>
          <w:ilvl w:val="0"/>
          <w:numId w:val="4"/>
        </w:numPr>
        <w:spacing w:before="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5" w:name="_Toc101544988"/>
      <w:r w:rsidRPr="00BB063C">
        <w:rPr>
          <w:rFonts w:asciiTheme="minorHAnsi" w:hAnsiTheme="minorHAnsi" w:cstheme="minorHAnsi"/>
          <w:b/>
          <w:bCs/>
          <w:color w:val="auto"/>
          <w:sz w:val="22"/>
          <w:szCs w:val="22"/>
        </w:rPr>
        <w:t>ANEXOS</w:t>
      </w:r>
      <w:bookmarkEnd w:id="15"/>
    </w:p>
    <w:p w14:paraId="65E1822B" w14:textId="77777777" w:rsidR="00044616" w:rsidRPr="00BB063C" w:rsidRDefault="00910629" w:rsidP="00E74815">
      <w:pPr>
        <w:spacing w:after="0" w:line="24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Anexo I </w:t>
      </w:r>
      <w:r w:rsidR="00044616" w:rsidRPr="00BB063C">
        <w:rPr>
          <w:rFonts w:cstheme="minorHAnsi"/>
        </w:rPr>
        <w:t>– Diretrizes de Instalação</w:t>
      </w:r>
      <w:r w:rsidRPr="00BB063C">
        <w:rPr>
          <w:rFonts w:cstheme="minorHAnsi"/>
        </w:rPr>
        <w:t xml:space="preserve">    </w:t>
      </w:r>
    </w:p>
    <w:p w14:paraId="7E9E2016" w14:textId="77777777" w:rsidR="00E74815" w:rsidRDefault="00044616" w:rsidP="00E74815">
      <w:pPr>
        <w:spacing w:after="0" w:line="24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Anexo II – LPU      </w:t>
      </w:r>
    </w:p>
    <w:p w14:paraId="12ADA012" w14:textId="48584D66" w:rsidR="00B82D89" w:rsidRDefault="00044616" w:rsidP="00E74815">
      <w:pPr>
        <w:spacing w:after="0" w:line="240" w:lineRule="auto"/>
        <w:ind w:left="357"/>
        <w:jc w:val="both"/>
        <w:rPr>
          <w:rFonts w:cstheme="minorHAnsi"/>
        </w:rPr>
      </w:pPr>
      <w:r w:rsidRPr="00BB063C">
        <w:rPr>
          <w:rFonts w:cstheme="minorHAnsi"/>
        </w:rPr>
        <w:t xml:space="preserve">                                                                         </w:t>
      </w:r>
    </w:p>
    <w:p w14:paraId="3BC3DE0F" w14:textId="77777777" w:rsidR="00985D64" w:rsidRDefault="00B82D89" w:rsidP="00550DE8">
      <w:pPr>
        <w:pStyle w:val="Ttulo1"/>
        <w:numPr>
          <w:ilvl w:val="0"/>
          <w:numId w:val="4"/>
        </w:numPr>
        <w:spacing w:before="0" w:line="360" w:lineRule="auto"/>
        <w:ind w:left="714" w:hanging="35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50DE8">
        <w:rPr>
          <w:rFonts w:asciiTheme="minorHAnsi" w:hAnsiTheme="minorHAnsi" w:cstheme="minorHAnsi"/>
          <w:b/>
          <w:bCs/>
          <w:color w:val="auto"/>
          <w:sz w:val="22"/>
          <w:szCs w:val="22"/>
        </w:rPr>
        <w:t>PRAZOS</w:t>
      </w:r>
    </w:p>
    <w:p w14:paraId="68668E97" w14:textId="518BCBA5" w:rsidR="00550DE8" w:rsidRPr="00550DE8" w:rsidRDefault="00550DE8" w:rsidP="00550DE8">
      <w:pPr>
        <w:ind w:left="357"/>
      </w:pPr>
      <w:r w:rsidRPr="00550DE8">
        <w:rPr>
          <w:noProof/>
        </w:rPr>
        <w:drawing>
          <wp:inline distT="0" distB="0" distL="0" distR="0" wp14:anchorId="14A93366" wp14:editId="35B5E158">
            <wp:extent cx="5400040" cy="753745"/>
            <wp:effectExtent l="0" t="0" r="0" b="8255"/>
            <wp:docPr id="71527163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75106" w14:textId="11FBEBE2" w:rsidR="00910629" w:rsidRPr="00B82D89" w:rsidRDefault="00910629" w:rsidP="00E74815">
      <w:pPr>
        <w:pStyle w:val="PargrafodaLista"/>
        <w:spacing w:line="360" w:lineRule="auto"/>
        <w:ind w:left="426"/>
        <w:jc w:val="both"/>
        <w:rPr>
          <w:rFonts w:cstheme="minorHAnsi"/>
        </w:rPr>
      </w:pPr>
      <w:r w:rsidRPr="00B82D89">
        <w:rPr>
          <w:rFonts w:cstheme="minorHAnsi"/>
        </w:rPr>
        <w:t xml:space="preserve">                                                         </w:t>
      </w:r>
      <w:r>
        <w:t xml:space="preserve"> </w:t>
      </w:r>
    </w:p>
    <w:sectPr w:rsidR="00910629" w:rsidRPr="00B82D89"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24D0" w14:textId="77777777" w:rsidR="00960E12" w:rsidRDefault="00960E12" w:rsidP="007456BC">
      <w:pPr>
        <w:spacing w:after="0" w:line="240" w:lineRule="auto"/>
      </w:pPr>
      <w:r>
        <w:separator/>
      </w:r>
    </w:p>
  </w:endnote>
  <w:endnote w:type="continuationSeparator" w:id="0">
    <w:p w14:paraId="087414BE" w14:textId="77777777" w:rsidR="00960E12" w:rsidRDefault="00960E12" w:rsidP="0074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E15E" w14:textId="77777777" w:rsidR="00960E12" w:rsidRDefault="00960E12" w:rsidP="007456BC">
      <w:pPr>
        <w:spacing w:after="0" w:line="240" w:lineRule="auto"/>
      </w:pPr>
      <w:r>
        <w:separator/>
      </w:r>
    </w:p>
  </w:footnote>
  <w:footnote w:type="continuationSeparator" w:id="0">
    <w:p w14:paraId="4FADC090" w14:textId="77777777" w:rsidR="00960E12" w:rsidRDefault="00960E12" w:rsidP="00745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5181"/>
      <w:gridCol w:w="1134"/>
      <w:gridCol w:w="772"/>
    </w:tblGrid>
    <w:tr w:rsidR="007456BC" w:rsidRPr="00D272CB" w14:paraId="06C4510E" w14:textId="77777777" w:rsidTr="00490B60">
      <w:trPr>
        <w:cantSplit/>
        <w:trHeight w:val="552"/>
      </w:trPr>
      <w:tc>
        <w:tcPr>
          <w:tcW w:w="2836" w:type="dxa"/>
          <w:vMerge w:val="restart"/>
          <w:tcBorders>
            <w:top w:val="single" w:sz="6" w:space="0" w:color="auto"/>
            <w:bottom w:val="nil"/>
            <w:right w:val="single" w:sz="6" w:space="0" w:color="auto"/>
          </w:tcBorders>
        </w:tcPr>
        <w:p w14:paraId="04CA3DB3" w14:textId="77777777" w:rsidR="007456BC" w:rsidRPr="00D272CB" w:rsidRDefault="007456BC" w:rsidP="007456BC">
          <w:pPr>
            <w:pStyle w:val="Cabealho"/>
            <w:jc w:val="center"/>
            <w:rPr>
              <w:rFonts w:ascii="Arial" w:hAnsi="Arial" w:cs="Arial"/>
              <w:sz w:val="100"/>
              <w:szCs w:val="1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CF93F5A" wp14:editId="11002BFA">
                <wp:simplePos x="0" y="0"/>
                <wp:positionH relativeFrom="margin">
                  <wp:posOffset>47625</wp:posOffset>
                </wp:positionH>
                <wp:positionV relativeFrom="paragraph">
                  <wp:posOffset>242570</wp:posOffset>
                </wp:positionV>
                <wp:extent cx="1504950" cy="550545"/>
                <wp:effectExtent l="0" t="0" r="0" b="1905"/>
                <wp:wrapNone/>
                <wp:docPr id="3" name="Imagem 3" descr="Desenho de personagem de desenhos animados com texto preto sobre fundo branc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Desenho de personagem de desenhos animados com texto preto sobre fundo branco&#10;&#10;Descrição gerada automaticamente com confiança média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4950" cy="550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DADA78F" w14:textId="77777777" w:rsidR="007456BC" w:rsidRPr="00D272CB" w:rsidRDefault="007456BC" w:rsidP="007456BC">
          <w:pPr>
            <w:pStyle w:val="Cabealho"/>
            <w:rPr>
              <w:lang w:val="es-ES"/>
            </w:rPr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A02073E" w14:textId="77777777" w:rsidR="007456BC" w:rsidRPr="00D272CB" w:rsidRDefault="007456BC" w:rsidP="007456BC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RFP – </w:t>
          </w:r>
          <w:proofErr w:type="spellStart"/>
          <w:r>
            <w:rPr>
              <w:rFonts w:ascii="Arial" w:hAnsi="Arial" w:cs="Arial"/>
              <w:sz w:val="24"/>
              <w:szCs w:val="24"/>
            </w:rPr>
            <w:t>Request</w:t>
          </w:r>
          <w:proofErr w:type="spellEnd"/>
          <w:r>
            <w:rPr>
              <w:rFonts w:ascii="Arial" w:hAnsi="Arial" w:cs="Arial"/>
              <w:sz w:val="24"/>
              <w:szCs w:val="24"/>
            </w:rPr>
            <w:t xml:space="preserve"> for </w:t>
          </w:r>
          <w:proofErr w:type="spellStart"/>
          <w:r>
            <w:rPr>
              <w:rFonts w:ascii="Arial" w:hAnsi="Arial" w:cs="Arial"/>
              <w:sz w:val="24"/>
              <w:szCs w:val="24"/>
            </w:rPr>
            <w:t>Proposal</w:t>
          </w:r>
          <w:proofErr w:type="spellEnd"/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6ADCBDBF" w14:textId="77777777" w:rsidR="007456BC" w:rsidRPr="00D272CB" w:rsidRDefault="007456BC" w:rsidP="007456BC">
          <w:pPr>
            <w:pStyle w:val="Cabealho"/>
          </w:pPr>
          <w:r w:rsidRPr="00D272CB">
            <w:t>Página</w:t>
          </w:r>
        </w:p>
      </w:tc>
      <w:tc>
        <w:tcPr>
          <w:tcW w:w="772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31683BA1" w14:textId="77777777" w:rsidR="007456BC" w:rsidRPr="00D272CB" w:rsidRDefault="007456BC" w:rsidP="007456BC">
          <w:pPr>
            <w:pStyle w:val="Cabealho"/>
          </w:pP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PAGE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1</w:t>
          </w:r>
          <w:r w:rsidRPr="00D272CB">
            <w:fldChar w:fldCharType="end"/>
          </w:r>
          <w:r w:rsidRPr="00D272CB">
            <w:rPr>
              <w:lang w:val="es-ES"/>
            </w:rPr>
            <w:t xml:space="preserve"> de </w:t>
          </w: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NUMPAGES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6</w:t>
          </w:r>
          <w:r w:rsidRPr="00D272CB">
            <w:fldChar w:fldCharType="end"/>
          </w:r>
        </w:p>
      </w:tc>
    </w:tr>
    <w:tr w:rsidR="007456BC" w:rsidRPr="00E74815" w14:paraId="28367A29" w14:textId="77777777" w:rsidTr="00490B60">
      <w:trPr>
        <w:cantSplit/>
        <w:trHeight w:val="985"/>
      </w:trPr>
      <w:tc>
        <w:tcPr>
          <w:tcW w:w="2836" w:type="dxa"/>
          <w:vMerge/>
          <w:tcBorders>
            <w:top w:val="nil"/>
            <w:bottom w:val="single" w:sz="4" w:space="0" w:color="auto"/>
            <w:right w:val="single" w:sz="6" w:space="0" w:color="auto"/>
          </w:tcBorders>
        </w:tcPr>
        <w:p w14:paraId="34663717" w14:textId="77777777" w:rsidR="007456BC" w:rsidRPr="00D272CB" w:rsidRDefault="007456BC" w:rsidP="007456BC">
          <w:pPr>
            <w:pStyle w:val="Cabealho"/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505C3F40" w14:textId="77777777" w:rsidR="007456BC" w:rsidRPr="00D272CB" w:rsidRDefault="007456BC" w:rsidP="007456BC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“Solicitação de Proposta”</w:t>
          </w:r>
        </w:p>
      </w:tc>
      <w:tc>
        <w:tcPr>
          <w:tcW w:w="1906" w:type="dxa"/>
          <w:gridSpan w:val="2"/>
          <w:tcBorders>
            <w:top w:val="nil"/>
            <w:left w:val="nil"/>
            <w:bottom w:val="single" w:sz="4" w:space="0" w:color="auto"/>
          </w:tcBorders>
        </w:tcPr>
        <w:p w14:paraId="7DF3688A" w14:textId="77777777" w:rsidR="007456BC" w:rsidRPr="00E74815" w:rsidRDefault="007456BC" w:rsidP="007456BC">
          <w:pPr>
            <w:pStyle w:val="Cabealho"/>
          </w:pPr>
        </w:p>
        <w:p w14:paraId="7DFE84B8" w14:textId="1F84D595" w:rsidR="007456BC" w:rsidRPr="00E74815" w:rsidRDefault="007456BC" w:rsidP="007456BC">
          <w:pPr>
            <w:pStyle w:val="Cabealho"/>
          </w:pPr>
          <w:r w:rsidRPr="00E74815">
            <w:t xml:space="preserve">Data </w:t>
          </w:r>
          <w:r w:rsidR="00A644A9">
            <w:t>12</w:t>
          </w:r>
          <w:r w:rsidR="00663E68" w:rsidRPr="00E74815">
            <w:t>/06</w:t>
          </w:r>
          <w:r w:rsidR="00DD333F" w:rsidRPr="00E74815">
            <w:t>/2023</w:t>
          </w:r>
        </w:p>
      </w:tc>
    </w:tr>
  </w:tbl>
  <w:p w14:paraId="18BDD1BA" w14:textId="77777777" w:rsidR="007456BC" w:rsidRDefault="007456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134A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7DA4D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4F0"/>
    <w:multiLevelType w:val="hybridMultilevel"/>
    <w:tmpl w:val="6A663508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676D54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137571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53D74CD"/>
    <w:multiLevelType w:val="hybridMultilevel"/>
    <w:tmpl w:val="AB8221B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DF"/>
    <w:multiLevelType w:val="hybridMultilevel"/>
    <w:tmpl w:val="9DFC72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C6806"/>
    <w:multiLevelType w:val="hybridMultilevel"/>
    <w:tmpl w:val="E4B484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444483">
    <w:abstractNumId w:val="6"/>
  </w:num>
  <w:num w:numId="2" w16cid:durableId="1281717879">
    <w:abstractNumId w:val="5"/>
  </w:num>
  <w:num w:numId="3" w16cid:durableId="1999923819">
    <w:abstractNumId w:val="2"/>
  </w:num>
  <w:num w:numId="4" w16cid:durableId="577911322">
    <w:abstractNumId w:val="7"/>
  </w:num>
  <w:num w:numId="5" w16cid:durableId="279188076">
    <w:abstractNumId w:val="4"/>
  </w:num>
  <w:num w:numId="6" w16cid:durableId="1562132867">
    <w:abstractNumId w:val="1"/>
  </w:num>
  <w:num w:numId="7" w16cid:durableId="792939509">
    <w:abstractNumId w:val="3"/>
  </w:num>
  <w:num w:numId="8" w16cid:durableId="1011878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3CC"/>
    <w:rsid w:val="00037F06"/>
    <w:rsid w:val="00044616"/>
    <w:rsid w:val="00057766"/>
    <w:rsid w:val="0007629B"/>
    <w:rsid w:val="000D3D89"/>
    <w:rsid w:val="001266CB"/>
    <w:rsid w:val="001371A0"/>
    <w:rsid w:val="001861AE"/>
    <w:rsid w:val="001E3115"/>
    <w:rsid w:val="001E3164"/>
    <w:rsid w:val="002132DB"/>
    <w:rsid w:val="00214489"/>
    <w:rsid w:val="00237819"/>
    <w:rsid w:val="00243C70"/>
    <w:rsid w:val="0024706A"/>
    <w:rsid w:val="00251301"/>
    <w:rsid w:val="00265A85"/>
    <w:rsid w:val="00272DE3"/>
    <w:rsid w:val="00283C35"/>
    <w:rsid w:val="00285923"/>
    <w:rsid w:val="00296C92"/>
    <w:rsid w:val="002B6F9E"/>
    <w:rsid w:val="002E1944"/>
    <w:rsid w:val="002E5594"/>
    <w:rsid w:val="002E564F"/>
    <w:rsid w:val="002E5835"/>
    <w:rsid w:val="002F018E"/>
    <w:rsid w:val="003016CE"/>
    <w:rsid w:val="003606F5"/>
    <w:rsid w:val="00367063"/>
    <w:rsid w:val="00377BD8"/>
    <w:rsid w:val="003A7778"/>
    <w:rsid w:val="003B4B22"/>
    <w:rsid w:val="003B5B01"/>
    <w:rsid w:val="003B6F0C"/>
    <w:rsid w:val="003C05DB"/>
    <w:rsid w:val="003D217D"/>
    <w:rsid w:val="003D6979"/>
    <w:rsid w:val="003E3B86"/>
    <w:rsid w:val="00403623"/>
    <w:rsid w:val="00404210"/>
    <w:rsid w:val="0041201C"/>
    <w:rsid w:val="0043125A"/>
    <w:rsid w:val="00435BD7"/>
    <w:rsid w:val="00470312"/>
    <w:rsid w:val="00491D90"/>
    <w:rsid w:val="004B0E43"/>
    <w:rsid w:val="004B7376"/>
    <w:rsid w:val="004C0C73"/>
    <w:rsid w:val="00503379"/>
    <w:rsid w:val="00506AB2"/>
    <w:rsid w:val="0051554D"/>
    <w:rsid w:val="00521F28"/>
    <w:rsid w:val="00550DE8"/>
    <w:rsid w:val="00553B62"/>
    <w:rsid w:val="00586919"/>
    <w:rsid w:val="005B3D57"/>
    <w:rsid w:val="005D716A"/>
    <w:rsid w:val="005E2E8A"/>
    <w:rsid w:val="005E7DBB"/>
    <w:rsid w:val="005F3E44"/>
    <w:rsid w:val="00610C3D"/>
    <w:rsid w:val="00615128"/>
    <w:rsid w:val="0062391E"/>
    <w:rsid w:val="00624C75"/>
    <w:rsid w:val="0064220F"/>
    <w:rsid w:val="00645BAE"/>
    <w:rsid w:val="00654D29"/>
    <w:rsid w:val="00663E68"/>
    <w:rsid w:val="00676663"/>
    <w:rsid w:val="0068008F"/>
    <w:rsid w:val="006832C1"/>
    <w:rsid w:val="006857F8"/>
    <w:rsid w:val="006A3613"/>
    <w:rsid w:val="006A56EB"/>
    <w:rsid w:val="006E23C3"/>
    <w:rsid w:val="006E4219"/>
    <w:rsid w:val="006F528D"/>
    <w:rsid w:val="007212E3"/>
    <w:rsid w:val="007456BC"/>
    <w:rsid w:val="007549E1"/>
    <w:rsid w:val="00762CE8"/>
    <w:rsid w:val="00765A06"/>
    <w:rsid w:val="00766518"/>
    <w:rsid w:val="00786B01"/>
    <w:rsid w:val="00793259"/>
    <w:rsid w:val="00793DA9"/>
    <w:rsid w:val="007B14DD"/>
    <w:rsid w:val="007B584E"/>
    <w:rsid w:val="007C3494"/>
    <w:rsid w:val="007E3558"/>
    <w:rsid w:val="007F0010"/>
    <w:rsid w:val="007F2116"/>
    <w:rsid w:val="00806CB9"/>
    <w:rsid w:val="008072A9"/>
    <w:rsid w:val="00846B82"/>
    <w:rsid w:val="00853432"/>
    <w:rsid w:val="008710F1"/>
    <w:rsid w:val="008770B9"/>
    <w:rsid w:val="00884339"/>
    <w:rsid w:val="00910629"/>
    <w:rsid w:val="00923432"/>
    <w:rsid w:val="00924950"/>
    <w:rsid w:val="00927A6F"/>
    <w:rsid w:val="00933DD5"/>
    <w:rsid w:val="00941EB0"/>
    <w:rsid w:val="0095673C"/>
    <w:rsid w:val="009574DB"/>
    <w:rsid w:val="00957823"/>
    <w:rsid w:val="00960E12"/>
    <w:rsid w:val="00985D64"/>
    <w:rsid w:val="00991ADF"/>
    <w:rsid w:val="009A1FE4"/>
    <w:rsid w:val="00A343D8"/>
    <w:rsid w:val="00A3545A"/>
    <w:rsid w:val="00A644A9"/>
    <w:rsid w:val="00A827A2"/>
    <w:rsid w:val="00A84C61"/>
    <w:rsid w:val="00A944EA"/>
    <w:rsid w:val="00AD6898"/>
    <w:rsid w:val="00AE5358"/>
    <w:rsid w:val="00AF0B15"/>
    <w:rsid w:val="00B0052E"/>
    <w:rsid w:val="00B10EE1"/>
    <w:rsid w:val="00B26AD9"/>
    <w:rsid w:val="00B30D57"/>
    <w:rsid w:val="00B53FF5"/>
    <w:rsid w:val="00B7530D"/>
    <w:rsid w:val="00B82D89"/>
    <w:rsid w:val="00BA437E"/>
    <w:rsid w:val="00BB063C"/>
    <w:rsid w:val="00BB30B4"/>
    <w:rsid w:val="00BC7A8E"/>
    <w:rsid w:val="00BF388B"/>
    <w:rsid w:val="00C57BC5"/>
    <w:rsid w:val="00C630B2"/>
    <w:rsid w:val="00C728EC"/>
    <w:rsid w:val="00C74028"/>
    <w:rsid w:val="00CA44A0"/>
    <w:rsid w:val="00CA6046"/>
    <w:rsid w:val="00CB605D"/>
    <w:rsid w:val="00D3131C"/>
    <w:rsid w:val="00D60C67"/>
    <w:rsid w:val="00D74301"/>
    <w:rsid w:val="00D853CC"/>
    <w:rsid w:val="00D876DC"/>
    <w:rsid w:val="00DB2899"/>
    <w:rsid w:val="00DC692E"/>
    <w:rsid w:val="00DD333F"/>
    <w:rsid w:val="00DD3E19"/>
    <w:rsid w:val="00DE28C7"/>
    <w:rsid w:val="00DE7FDB"/>
    <w:rsid w:val="00E03562"/>
    <w:rsid w:val="00E05D42"/>
    <w:rsid w:val="00E131F4"/>
    <w:rsid w:val="00E35833"/>
    <w:rsid w:val="00E54208"/>
    <w:rsid w:val="00E660A4"/>
    <w:rsid w:val="00E73F03"/>
    <w:rsid w:val="00E74815"/>
    <w:rsid w:val="00EB5E09"/>
    <w:rsid w:val="00ED0664"/>
    <w:rsid w:val="00EE1AC7"/>
    <w:rsid w:val="00EE3292"/>
    <w:rsid w:val="00F122E6"/>
    <w:rsid w:val="00F24EDA"/>
    <w:rsid w:val="00F33916"/>
    <w:rsid w:val="00F400F3"/>
    <w:rsid w:val="00F65641"/>
    <w:rsid w:val="00F96F21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6CBA"/>
  <w15:chartTrackingRefBased/>
  <w15:docId w15:val="{C4C67D60-0D0A-47F4-99CD-DD5DACDA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77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770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578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E28C7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770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770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bealhodoSumrio">
    <w:name w:val="TOC Heading"/>
    <w:basedOn w:val="Ttulo1"/>
    <w:next w:val="Normal"/>
    <w:uiPriority w:val="39"/>
    <w:unhideWhenUsed/>
    <w:qFormat/>
    <w:rsid w:val="008770B9"/>
    <w:pPr>
      <w:outlineLvl w:val="9"/>
    </w:pPr>
    <w:rPr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rsid w:val="00BC7A8E"/>
    <w:pPr>
      <w:spacing w:after="100"/>
    </w:pPr>
    <w:rPr>
      <w:b/>
      <w:bCs/>
    </w:rPr>
  </w:style>
  <w:style w:type="character" w:styleId="Hyperlink">
    <w:name w:val="Hyperlink"/>
    <w:basedOn w:val="Fontepargpadro"/>
    <w:uiPriority w:val="99"/>
    <w:unhideWhenUsed/>
    <w:rsid w:val="008770B9"/>
    <w:rPr>
      <w:color w:val="0563C1" w:themeColor="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578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B753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753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7530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753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7530D"/>
    <w:rPr>
      <w:b/>
      <w:bCs/>
      <w:sz w:val="20"/>
      <w:szCs w:val="20"/>
    </w:rPr>
  </w:style>
  <w:style w:type="table" w:styleId="Tabelacomgrade">
    <w:name w:val="Table Grid"/>
    <w:basedOn w:val="Tabelanormal"/>
    <w:uiPriority w:val="39"/>
    <w:rsid w:val="00F96F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3">
    <w:name w:val="toc 3"/>
    <w:basedOn w:val="Normal"/>
    <w:next w:val="Normal"/>
    <w:autoRedefine/>
    <w:uiPriority w:val="39"/>
    <w:unhideWhenUsed/>
    <w:rsid w:val="00F400F3"/>
    <w:pPr>
      <w:spacing w:after="100"/>
      <w:ind w:left="440"/>
    </w:pPr>
  </w:style>
  <w:style w:type="paragraph" w:styleId="Cabealho">
    <w:name w:val="header"/>
    <w:basedOn w:val="Normal"/>
    <w:link w:val="CabealhoChar"/>
    <w:unhideWhenUsed/>
    <w:rsid w:val="00745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456BC"/>
  </w:style>
  <w:style w:type="paragraph" w:styleId="Rodap">
    <w:name w:val="footer"/>
    <w:basedOn w:val="Normal"/>
    <w:link w:val="RodapChar"/>
    <w:uiPriority w:val="99"/>
    <w:unhideWhenUsed/>
    <w:rsid w:val="00745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5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34D04E70687408F7D74C7AB749DE1" ma:contentTypeVersion="14" ma:contentTypeDescription="Crie um novo documento." ma:contentTypeScope="" ma:versionID="f09e6adbee8676dac86ef68e59414e74">
  <xsd:schema xmlns:xsd="http://www.w3.org/2001/XMLSchema" xmlns:xs="http://www.w3.org/2001/XMLSchema" xmlns:p="http://schemas.microsoft.com/office/2006/metadata/properties" xmlns:ns2="6e327351-fa16-4fcc-9e6c-49b93540d57c" xmlns:ns3="fca69ca8-b64e-4f46-a5a5-c7ece8ded8a3" targetNamespace="http://schemas.microsoft.com/office/2006/metadata/properties" ma:root="true" ma:fieldsID="94b01c3140aee9cc3972c6ee790bea18" ns2:_="" ns3:_="">
    <xsd:import namespace="6e327351-fa16-4fcc-9e6c-49b93540d57c"/>
    <xsd:import namespace="fca69ca8-b64e-4f46-a5a5-c7ece8ded8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27351-fa16-4fcc-9e6c-49b93540d5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c7f1ddf-252e-4546-b828-fa118463328f}" ma:internalName="TaxCatchAll" ma:showField="CatchAllData" ma:web="6e327351-fa16-4fcc-9e6c-49b93540d5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69ca8-b64e-4f46-a5a5-c7ece8ded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2f58ec0-a1d0-428e-ab48-eae09c0bf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a69ca8-b64e-4f46-a5a5-c7ece8ded8a3">
      <Terms xmlns="http://schemas.microsoft.com/office/infopath/2007/PartnerControls"/>
    </lcf76f155ced4ddcb4097134ff3c332f>
    <TaxCatchAll xmlns="6e327351-fa16-4fcc-9e6c-49b93540d57c" xsi:nil="true"/>
    <_Flow_SignoffStatus xmlns="fca69ca8-b64e-4f46-a5a5-c7ece8ded8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36A68C-F346-436D-BE5B-095F4CC08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27351-fa16-4fcc-9e6c-49b93540d57c"/>
    <ds:schemaRef ds:uri="fca69ca8-b64e-4f46-a5a5-c7ece8de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46CBD6-C320-40A2-A0A1-1AAB8D786F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8BB5B0-1DE3-4425-B476-678772EEB433}">
  <ds:schemaRefs>
    <ds:schemaRef ds:uri="http://schemas.microsoft.com/office/2006/metadata/properties"/>
    <ds:schemaRef ds:uri="http://schemas.microsoft.com/office/infopath/2007/PartnerControls"/>
    <ds:schemaRef ds:uri="fca69ca8-b64e-4f46-a5a5-c7ece8ded8a3"/>
    <ds:schemaRef ds:uri="6e327351-fa16-4fcc-9e6c-49b93540d57c"/>
  </ds:schemaRefs>
</ds:datastoreItem>
</file>

<file path=customXml/itemProps4.xml><?xml version="1.0" encoding="utf-8"?>
<ds:datastoreItem xmlns:ds="http://schemas.openxmlformats.org/officeDocument/2006/customXml" ds:itemID="{7183EEAD-37BE-4331-BFA0-643A5DFE5F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1619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Pereira, Eduardo K</dc:creator>
  <cp:keywords/>
  <dc:description/>
  <cp:lastModifiedBy>Valter Benito Alves</cp:lastModifiedBy>
  <cp:revision>3</cp:revision>
  <dcterms:created xsi:type="dcterms:W3CDTF">2023-06-12T18:36:00Z</dcterms:created>
  <dcterms:modified xsi:type="dcterms:W3CDTF">2023-06-12T18:48:00Z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0x0101005F834D04E70687408F7D74C7AB749DE1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2022-09-13T17:20:09Z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45f2cb41-042b-44a7-8047-e04606844b68</vt:lpwstr>
  </property>
  <property fmtid="{D5CDD505-2E9C-101B-9397-08002B2CF9AE}" pid="8" name="MSIP_Label_defa4170-0d19-0005-0004-bc88714345d2_ActionId">
    <vt:lpwstr>c0f69127-e490-4542-8682-affdb0509838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